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3C8" w:rsidRPr="00A663C8" w:rsidRDefault="00A663C8" w:rsidP="00D31759">
      <w:pPr>
        <w:shd w:val="clear" w:color="auto" w:fill="FFFFFF"/>
        <w:spacing w:after="0" w:line="240" w:lineRule="auto"/>
        <w:textAlignment w:val="baseline"/>
        <w:rPr>
          <w:rFonts w:ascii="inherit" w:eastAsia="Times New Roman" w:hAnsi="inherit" w:cs="Arial"/>
          <w:b/>
          <w:bCs/>
          <w:color w:val="606569"/>
          <w:sz w:val="26"/>
          <w:szCs w:val="20"/>
          <w:u w:val="single"/>
          <w:bdr w:val="none" w:sz="0" w:space="0" w:color="auto" w:frame="1"/>
          <w:lang w:eastAsia="hu-HU"/>
        </w:rPr>
      </w:pPr>
      <w:r w:rsidRPr="00A663C8">
        <w:rPr>
          <w:rFonts w:ascii="inherit" w:eastAsia="Times New Roman" w:hAnsi="inherit" w:cs="Arial"/>
          <w:b/>
          <w:bCs/>
          <w:color w:val="606569"/>
          <w:sz w:val="26"/>
          <w:szCs w:val="20"/>
          <w:u w:val="single"/>
          <w:bdr w:val="none" w:sz="0" w:space="0" w:color="auto" w:frame="1"/>
          <w:lang w:eastAsia="hu-HU"/>
        </w:rPr>
        <w:t>Tájékoztató ipari tevékenység bejelentéséről</w:t>
      </w:r>
    </w:p>
    <w:p w:rsidR="00A663C8" w:rsidRDefault="00A663C8" w:rsidP="00D31759">
      <w:pPr>
        <w:shd w:val="clear" w:color="auto" w:fill="FFFFFF"/>
        <w:spacing w:after="0" w:line="240" w:lineRule="auto"/>
        <w:textAlignment w:val="baseline"/>
        <w:rPr>
          <w:rFonts w:ascii="inherit" w:eastAsia="Times New Roman" w:hAnsi="inherit" w:cs="Arial"/>
          <w:b/>
          <w:bCs/>
          <w:color w:val="606569"/>
          <w:sz w:val="20"/>
          <w:szCs w:val="20"/>
          <w:bdr w:val="none" w:sz="0" w:space="0" w:color="auto" w:frame="1"/>
          <w:lang w:eastAsia="hu-HU"/>
        </w:rPr>
      </w:pP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I. Tevékenység átfogó megnevezése</w:t>
      </w:r>
    </w:p>
    <w:p w:rsidR="00D31759" w:rsidRPr="00D31759" w:rsidRDefault="00D31759" w:rsidP="00D31759">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A jegyző hatáskörébe tartozó bejelentés-köteles ipari tevékenység</w:t>
      </w: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II. Vonatkozó jogszabályok</w:t>
      </w:r>
    </w:p>
    <w:p w:rsidR="00D31759" w:rsidRPr="00D31759" w:rsidRDefault="00D31759" w:rsidP="00D31759">
      <w:pPr>
        <w:numPr>
          <w:ilvl w:val="0"/>
          <w:numId w:val="1"/>
        </w:numPr>
        <w:shd w:val="clear" w:color="auto" w:fill="FFFFFF"/>
        <w:spacing w:after="0" w:line="240" w:lineRule="auto"/>
        <w:ind w:left="630"/>
        <w:textAlignment w:val="baseline"/>
        <w:rPr>
          <w:rFonts w:ascii="inherit" w:eastAsia="Times New Roman" w:hAnsi="inherit" w:cs="Arial"/>
          <w:color w:val="606569"/>
          <w:sz w:val="20"/>
          <w:szCs w:val="20"/>
          <w:lang w:eastAsia="hu-HU"/>
        </w:rPr>
      </w:pPr>
      <w:r w:rsidRPr="00D31759">
        <w:rPr>
          <w:rFonts w:ascii="inherit" w:eastAsia="Times New Roman" w:hAnsi="inherit" w:cs="Arial"/>
          <w:color w:val="606569"/>
          <w:sz w:val="20"/>
          <w:szCs w:val="20"/>
          <w:lang w:eastAsia="hu-HU"/>
        </w:rPr>
        <w:t xml:space="preserve">a szolgáltatási tevékenység megkezdésének és folytatásának általános szabályairól szóló 2009. évi LXXVI. törvény (a továbbiakban: </w:t>
      </w:r>
      <w:proofErr w:type="spellStart"/>
      <w:r w:rsidRPr="00D31759">
        <w:rPr>
          <w:rFonts w:ascii="inherit" w:eastAsia="Times New Roman" w:hAnsi="inherit" w:cs="Arial"/>
          <w:color w:val="606569"/>
          <w:sz w:val="20"/>
          <w:szCs w:val="20"/>
          <w:lang w:eastAsia="hu-HU"/>
        </w:rPr>
        <w:t>Szolgtv</w:t>
      </w:r>
      <w:proofErr w:type="spellEnd"/>
      <w:r w:rsidRPr="00D31759">
        <w:rPr>
          <w:rFonts w:ascii="inherit" w:eastAsia="Times New Roman" w:hAnsi="inherit" w:cs="Arial"/>
          <w:color w:val="606569"/>
          <w:sz w:val="20"/>
          <w:szCs w:val="20"/>
          <w:lang w:eastAsia="hu-HU"/>
        </w:rPr>
        <w:t>.)</w:t>
      </w:r>
    </w:p>
    <w:p w:rsidR="00D31759" w:rsidRPr="00D31759" w:rsidRDefault="00D31759" w:rsidP="00D31759">
      <w:pPr>
        <w:numPr>
          <w:ilvl w:val="0"/>
          <w:numId w:val="1"/>
        </w:numPr>
        <w:shd w:val="clear" w:color="auto" w:fill="FFFFFF"/>
        <w:spacing w:after="0" w:line="240" w:lineRule="auto"/>
        <w:ind w:left="630"/>
        <w:textAlignment w:val="baseline"/>
        <w:rPr>
          <w:rFonts w:ascii="inherit" w:eastAsia="Times New Roman" w:hAnsi="inherit" w:cs="Arial"/>
          <w:color w:val="606569"/>
          <w:sz w:val="20"/>
          <w:szCs w:val="20"/>
          <w:lang w:eastAsia="hu-HU"/>
        </w:rPr>
      </w:pPr>
      <w:r w:rsidRPr="00D31759">
        <w:rPr>
          <w:rFonts w:ascii="inherit" w:eastAsia="Times New Roman" w:hAnsi="inherit" w:cs="Arial"/>
          <w:color w:val="606569"/>
          <w:sz w:val="20"/>
          <w:szCs w:val="20"/>
          <w:lang w:eastAsia="hu-HU"/>
        </w:rPr>
        <w:t>a telepengedély, illetve a telep létesítésének bejelentése alapján gyakorolható egyes termelő és egyes szolgáltató tevékenységekről, valamint a telepengedélyezés rendjéről és a bejelentés szabályairól szóló 57/2013. (II. 27.) Korm. rendelet (a továbbiakban: Kr.)</w:t>
      </w:r>
    </w:p>
    <w:p w:rsidR="00D31759" w:rsidRPr="00D31759" w:rsidRDefault="00D31759" w:rsidP="00D31759">
      <w:pPr>
        <w:numPr>
          <w:ilvl w:val="0"/>
          <w:numId w:val="1"/>
        </w:numPr>
        <w:shd w:val="clear" w:color="auto" w:fill="FFFFFF"/>
        <w:spacing w:after="0" w:line="240" w:lineRule="auto"/>
        <w:ind w:left="630"/>
        <w:textAlignment w:val="baseline"/>
        <w:rPr>
          <w:rFonts w:ascii="inherit" w:eastAsia="Times New Roman" w:hAnsi="inherit" w:cs="Arial"/>
          <w:color w:val="606569"/>
          <w:sz w:val="20"/>
          <w:szCs w:val="20"/>
          <w:lang w:eastAsia="hu-HU"/>
        </w:rPr>
      </w:pPr>
      <w:r w:rsidRPr="00D31759">
        <w:rPr>
          <w:rFonts w:ascii="inherit" w:eastAsia="Times New Roman" w:hAnsi="inherit" w:cs="Arial"/>
          <w:color w:val="606569"/>
          <w:sz w:val="20"/>
          <w:szCs w:val="20"/>
          <w:lang w:eastAsia="hu-HU"/>
        </w:rPr>
        <w:t>a bejelentésköteles szolgáltatási tevékenységek tekintetében a bejelentés elmulasztása esetén fizetendő bírságról, továbbá a szolgáltatás felügyeletét ellátó hatóságok általános kijelöléséről szóló 186/2009. (IX. 10.) Kormányrendelet</w:t>
      </w:r>
    </w:p>
    <w:p w:rsidR="00D31759" w:rsidRPr="00D31759" w:rsidRDefault="00D31759" w:rsidP="00D31759">
      <w:pPr>
        <w:numPr>
          <w:ilvl w:val="0"/>
          <w:numId w:val="1"/>
        </w:numPr>
        <w:shd w:val="clear" w:color="auto" w:fill="FFFFFF"/>
        <w:spacing w:after="0" w:line="240" w:lineRule="auto"/>
        <w:ind w:left="630"/>
        <w:textAlignment w:val="baseline"/>
        <w:rPr>
          <w:rFonts w:ascii="inherit" w:eastAsia="Times New Roman" w:hAnsi="inherit" w:cs="Arial"/>
          <w:color w:val="606569"/>
          <w:sz w:val="20"/>
          <w:szCs w:val="20"/>
          <w:lang w:eastAsia="hu-HU"/>
        </w:rPr>
      </w:pPr>
      <w:r w:rsidRPr="00D31759">
        <w:rPr>
          <w:rFonts w:ascii="inherit" w:eastAsia="Times New Roman" w:hAnsi="inherit" w:cs="Arial"/>
          <w:color w:val="606569"/>
          <w:sz w:val="20"/>
          <w:szCs w:val="20"/>
          <w:lang w:eastAsia="hu-HU"/>
        </w:rPr>
        <w:t>a telepengedélyezési eljárásért fizetendő igazgatási szolgáltatás díjáról szóló 35/1999. (X. 13.) BM rendelet (a továbbiakban: BM rendelet)</w:t>
      </w: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III. Tevékenység nyilvántartásba vételének feltétele:</w:t>
      </w:r>
    </w:p>
    <w:p w:rsidR="00D31759" w:rsidRPr="00D31759" w:rsidRDefault="00D31759" w:rsidP="00D31759">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 xml:space="preserve">A Kr. 3. mellékletben meghatározott </w:t>
      </w:r>
      <w:proofErr w:type="spellStart"/>
      <w:r w:rsidRPr="00D31759">
        <w:rPr>
          <w:rFonts w:ascii="Arial" w:eastAsia="Times New Roman" w:hAnsi="Arial" w:cs="Arial"/>
          <w:color w:val="606569"/>
          <w:sz w:val="20"/>
          <w:szCs w:val="20"/>
          <w:lang w:eastAsia="hu-HU"/>
        </w:rPr>
        <w:t>adattartalmú</w:t>
      </w:r>
      <w:proofErr w:type="spellEnd"/>
      <w:r w:rsidRPr="00D31759">
        <w:rPr>
          <w:rFonts w:ascii="Arial" w:eastAsia="Times New Roman" w:hAnsi="Arial" w:cs="Arial"/>
          <w:color w:val="606569"/>
          <w:sz w:val="20"/>
          <w:szCs w:val="20"/>
          <w:lang w:eastAsia="hu-HU"/>
        </w:rPr>
        <w:t xml:space="preserve"> formanyomtatványon köteles bejelenteni az által folytatott a Kr. 1. melléklete szerinti ipari szolgáltató tevékenységét a jegyzőhöz.</w:t>
      </w:r>
      <w:r w:rsidRPr="00D31759">
        <w:rPr>
          <w:rFonts w:ascii="Arial" w:eastAsia="Times New Roman" w:hAnsi="Arial" w:cs="Arial"/>
          <w:color w:val="606569"/>
          <w:sz w:val="20"/>
          <w:szCs w:val="20"/>
          <w:lang w:eastAsia="hu-HU"/>
        </w:rPr>
        <w:br/>
        <w:t>A bejelentés alapján a jegyző meggyőződik arról, hogy a helyi építési szabályzat, szabályozási terv, meghatározott övezeti besorolás, illetőleg ezek hiányában az épített környezet alakításáról és védelméről szóló 1997. évi LXXVIII. törvény 18. §-</w:t>
      </w:r>
      <w:proofErr w:type="spellStart"/>
      <w:r w:rsidRPr="00D31759">
        <w:rPr>
          <w:rFonts w:ascii="Arial" w:eastAsia="Times New Roman" w:hAnsi="Arial" w:cs="Arial"/>
          <w:color w:val="606569"/>
          <w:sz w:val="20"/>
          <w:szCs w:val="20"/>
          <w:lang w:eastAsia="hu-HU"/>
        </w:rPr>
        <w:t>ának</w:t>
      </w:r>
      <w:proofErr w:type="spellEnd"/>
      <w:r w:rsidRPr="00D31759">
        <w:rPr>
          <w:rFonts w:ascii="Arial" w:eastAsia="Times New Roman" w:hAnsi="Arial" w:cs="Arial"/>
          <w:color w:val="606569"/>
          <w:sz w:val="20"/>
          <w:szCs w:val="20"/>
          <w:lang w:eastAsia="hu-HU"/>
        </w:rPr>
        <w:t xml:space="preserve"> (2) bekezdése szerint a kérelemben feltüntetett telepen az adott tevékenység végezhető-e.</w:t>
      </w:r>
      <w:r w:rsidRPr="00D31759">
        <w:rPr>
          <w:rFonts w:ascii="Arial" w:eastAsia="Times New Roman" w:hAnsi="Arial" w:cs="Arial"/>
          <w:color w:val="606569"/>
          <w:sz w:val="20"/>
          <w:szCs w:val="20"/>
          <w:lang w:eastAsia="hu-HU"/>
        </w:rPr>
        <w:br/>
        <w:t>A jegyző hiánytalan és a fenti követelménynek megfelelő bejelentés alapján az illetékességi területén ipari szolgáltató tevékenységet folytatókról és ipari telepekről vezetett nyilvántartásába bejegyzi az üzemeltetőt és az általa folytatott ipari tevékenységet.</w:t>
      </w:r>
      <w:r w:rsidRPr="00D31759">
        <w:rPr>
          <w:rFonts w:ascii="Arial" w:eastAsia="Times New Roman" w:hAnsi="Arial" w:cs="Arial"/>
          <w:color w:val="606569"/>
          <w:sz w:val="20"/>
          <w:szCs w:val="20"/>
          <w:lang w:eastAsia="hu-HU"/>
        </w:rPr>
        <w:br/>
        <w:t>Hiányos bejelentés esetén az elutasításra kerül, egyben a bejelentés meg nem tettnek minősül.</w:t>
      </w: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IV. A bejelentés benyújtás módja:</w:t>
      </w: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a) papír alapú –</w:t>
      </w:r>
      <w:r w:rsidR="00A663C8">
        <w:rPr>
          <w:rFonts w:ascii="Arial" w:eastAsia="Times New Roman" w:hAnsi="Arial" w:cs="Arial"/>
          <w:color w:val="606569"/>
          <w:sz w:val="20"/>
          <w:szCs w:val="20"/>
          <w:lang w:eastAsia="hu-HU"/>
        </w:rPr>
        <w:t xml:space="preserve"> (</w:t>
      </w:r>
      <w:hyperlink r:id="rId5" w:history="1">
        <w:r w:rsidR="00A663C8" w:rsidRPr="007B76B1">
          <w:rPr>
            <w:rStyle w:val="Hiperhivatkozs"/>
            <w:rFonts w:ascii="Arial" w:eastAsia="Times New Roman" w:hAnsi="Arial" w:cs="Arial"/>
            <w:sz w:val="20"/>
            <w:szCs w:val="20"/>
            <w:lang w:eastAsia="hu-HU"/>
          </w:rPr>
          <w:t>www.csokmo.hu</w:t>
        </w:r>
      </w:hyperlink>
      <w:r w:rsidR="00A663C8">
        <w:rPr>
          <w:rFonts w:ascii="Arial" w:eastAsia="Times New Roman" w:hAnsi="Arial" w:cs="Arial"/>
          <w:color w:val="606569"/>
          <w:sz w:val="20"/>
          <w:szCs w:val="20"/>
          <w:lang w:eastAsia="hu-HU"/>
        </w:rPr>
        <w:t xml:space="preserve"> oldalról letölthető a nyomtatvány, vagy átvehető a hivatalban)</w:t>
      </w:r>
      <w:r w:rsidR="00A663C8">
        <w:rPr>
          <w:rFonts w:ascii="Arial" w:eastAsia="Times New Roman" w:hAnsi="Arial" w:cs="Arial"/>
          <w:color w:val="606569"/>
          <w:sz w:val="20"/>
          <w:szCs w:val="20"/>
          <w:lang w:eastAsia="hu-HU"/>
        </w:rPr>
        <w:br/>
        <w:t xml:space="preserve">b) személyesen a Csökmői Polgármesteri Hivatalban </w:t>
      </w:r>
      <w:r w:rsidRPr="00D31759">
        <w:rPr>
          <w:rFonts w:ascii="Arial" w:eastAsia="Times New Roman" w:hAnsi="Arial" w:cs="Arial"/>
          <w:color w:val="606569"/>
          <w:sz w:val="20"/>
          <w:szCs w:val="20"/>
          <w:lang w:eastAsia="hu-HU"/>
        </w:rPr>
        <w:t>ügyfélfogadási időben)</w:t>
      </w:r>
    </w:p>
    <w:p w:rsidR="00A663C8" w:rsidRDefault="00A663C8" w:rsidP="00D31759">
      <w:pPr>
        <w:shd w:val="clear" w:color="auto" w:fill="FFFFFF"/>
        <w:spacing w:after="0" w:line="240" w:lineRule="auto"/>
        <w:textAlignment w:val="baseline"/>
        <w:rPr>
          <w:rFonts w:ascii="inherit" w:eastAsia="Times New Roman" w:hAnsi="inherit" w:cs="Arial"/>
          <w:b/>
          <w:bCs/>
          <w:color w:val="606569"/>
          <w:sz w:val="20"/>
          <w:szCs w:val="20"/>
          <w:bdr w:val="none" w:sz="0" w:space="0" w:color="auto" w:frame="1"/>
          <w:lang w:eastAsia="hu-HU"/>
        </w:rPr>
      </w:pP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V. A bejelentés adattartalma tételesen</w:t>
      </w:r>
    </w:p>
    <w:p w:rsidR="00A663C8" w:rsidRDefault="00D31759" w:rsidP="00A663C8">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A Kr. 6. § (1) bekezdése és 1. melléklet A) pont</w:t>
      </w:r>
      <w:r w:rsidR="00A663C8">
        <w:rPr>
          <w:rFonts w:ascii="Arial" w:eastAsia="Times New Roman" w:hAnsi="Arial" w:cs="Arial"/>
          <w:color w:val="606569"/>
          <w:sz w:val="20"/>
          <w:szCs w:val="20"/>
          <w:lang w:eastAsia="hu-HU"/>
        </w:rPr>
        <w:t>ja szerinti.</w:t>
      </w:r>
    </w:p>
    <w:p w:rsidR="00D31759" w:rsidRPr="00D31759" w:rsidRDefault="00D31759" w:rsidP="00A663C8">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Csatolandó okiratok</w:t>
      </w:r>
    </w:p>
    <w:p w:rsidR="00D31759" w:rsidRPr="00D31759" w:rsidRDefault="00D31759" w:rsidP="00D31759">
      <w:pPr>
        <w:numPr>
          <w:ilvl w:val="0"/>
          <w:numId w:val="3"/>
        </w:numPr>
        <w:shd w:val="clear" w:color="auto" w:fill="FFFFFF"/>
        <w:spacing w:after="0" w:line="240" w:lineRule="auto"/>
        <w:ind w:left="630"/>
        <w:textAlignment w:val="baseline"/>
        <w:rPr>
          <w:rFonts w:ascii="inherit" w:eastAsia="Times New Roman" w:hAnsi="inherit" w:cs="Arial"/>
          <w:color w:val="606569"/>
          <w:sz w:val="20"/>
          <w:szCs w:val="20"/>
          <w:lang w:eastAsia="hu-HU"/>
        </w:rPr>
      </w:pPr>
      <w:bookmarkStart w:id="0" w:name="_GoBack"/>
      <w:bookmarkEnd w:id="0"/>
      <w:r w:rsidRPr="00D31759">
        <w:rPr>
          <w:rFonts w:ascii="inherit" w:eastAsia="Times New Roman" w:hAnsi="inherit" w:cs="Arial"/>
          <w:color w:val="606569"/>
          <w:sz w:val="20"/>
          <w:szCs w:val="20"/>
          <w:lang w:eastAsia="hu-HU"/>
        </w:rPr>
        <w:t>nem a kérelmező tulajdonában lévő telep esetében a telep használatának jogcímére (bérlet stb.) vonatkozó igazoló okirat (a tulajdoni lap kivételével)</w:t>
      </w:r>
    </w:p>
    <w:p w:rsidR="00D31759" w:rsidRPr="00D31759" w:rsidRDefault="00D31759" w:rsidP="00D31759">
      <w:pPr>
        <w:numPr>
          <w:ilvl w:val="0"/>
          <w:numId w:val="3"/>
        </w:numPr>
        <w:shd w:val="clear" w:color="auto" w:fill="FFFFFF"/>
        <w:spacing w:after="0" w:line="240" w:lineRule="auto"/>
        <w:ind w:left="630"/>
        <w:textAlignment w:val="baseline"/>
        <w:rPr>
          <w:rFonts w:ascii="inherit" w:eastAsia="Times New Roman" w:hAnsi="inherit" w:cs="Arial"/>
          <w:color w:val="606569"/>
          <w:sz w:val="20"/>
          <w:szCs w:val="20"/>
          <w:lang w:eastAsia="hu-HU"/>
        </w:rPr>
      </w:pPr>
      <w:r w:rsidRPr="00D31759">
        <w:rPr>
          <w:rFonts w:ascii="inherit" w:eastAsia="Times New Roman" w:hAnsi="inherit" w:cs="Arial"/>
          <w:color w:val="606569"/>
          <w:sz w:val="20"/>
          <w:szCs w:val="20"/>
          <w:lang w:eastAsia="hu-HU"/>
        </w:rPr>
        <w:t>haszonélvezet esetében a haszonélvező, illetve közös tulajdon esetében a tulajdonostárs hozzájárulását igazoló okirat</w:t>
      </w: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VI. A hatáskör gyakorlója, illetékesség</w:t>
      </w:r>
    </w:p>
    <w:p w:rsidR="00D31759" w:rsidRPr="00D31759" w:rsidRDefault="00D31759" w:rsidP="00D31759">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Az ipari szolgáltató tevékenységek nyilvántartásba vételével és engedélyezésével kapcsolatos eljárások lefolytatására a telep helye szerinti település jegyzője rendelkezik hatáskörrel.</w:t>
      </w:r>
    </w:p>
    <w:p w:rsidR="00D31759" w:rsidRDefault="00D31759" w:rsidP="00D31759">
      <w:pPr>
        <w:shd w:val="clear" w:color="auto" w:fill="FFFFFF"/>
        <w:spacing w:after="0" w:line="240" w:lineRule="auto"/>
        <w:textAlignment w:val="baseline"/>
        <w:outlineLvl w:val="2"/>
        <w:rPr>
          <w:rFonts w:ascii="Arial" w:eastAsia="Times New Roman" w:hAnsi="Arial" w:cs="Arial"/>
          <w:b/>
          <w:bCs/>
          <w:color w:val="19232D"/>
          <w:sz w:val="27"/>
          <w:szCs w:val="27"/>
          <w:lang w:eastAsia="hu-HU"/>
        </w:rPr>
      </w:pPr>
      <w:r w:rsidRPr="00D31759">
        <w:rPr>
          <w:rFonts w:ascii="Arial" w:eastAsia="Times New Roman" w:hAnsi="Arial" w:cs="Arial"/>
          <w:b/>
          <w:bCs/>
          <w:color w:val="19232D"/>
          <w:sz w:val="27"/>
          <w:szCs w:val="27"/>
          <w:lang w:eastAsia="hu-HU"/>
        </w:rPr>
        <w:t>A tevékenység a bejelentés megtételével megkezdhető.</w:t>
      </w:r>
    </w:p>
    <w:p w:rsidR="00A663C8" w:rsidRPr="00D31759" w:rsidRDefault="00A663C8" w:rsidP="00D31759">
      <w:pPr>
        <w:shd w:val="clear" w:color="auto" w:fill="FFFFFF"/>
        <w:spacing w:after="0" w:line="240" w:lineRule="auto"/>
        <w:textAlignment w:val="baseline"/>
        <w:outlineLvl w:val="2"/>
        <w:rPr>
          <w:rFonts w:ascii="Arial" w:eastAsia="Times New Roman" w:hAnsi="Arial" w:cs="Arial"/>
          <w:b/>
          <w:bCs/>
          <w:color w:val="19232D"/>
          <w:sz w:val="27"/>
          <w:szCs w:val="27"/>
          <w:lang w:eastAsia="hu-HU"/>
        </w:rPr>
      </w:pP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VII. A nyilvántartásba vétellel kapcsolatos eljárás</w:t>
      </w:r>
    </w:p>
    <w:p w:rsidR="00D31759" w:rsidRPr="00D31759" w:rsidRDefault="00D31759" w:rsidP="00D31759">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Az eljáró hatóság meggyőződik arról, hogy a helyi építési szabályzat, szabályozási terv, meghatározott övezeti besorolás, illetőleg ezek hiányában az épített környezet alakításáról és védelméről szóló 1997. évi LXXVIII. törvény 18. §-</w:t>
      </w:r>
      <w:proofErr w:type="spellStart"/>
      <w:r w:rsidRPr="00D31759">
        <w:rPr>
          <w:rFonts w:ascii="Arial" w:eastAsia="Times New Roman" w:hAnsi="Arial" w:cs="Arial"/>
          <w:color w:val="606569"/>
          <w:sz w:val="20"/>
          <w:szCs w:val="20"/>
          <w:lang w:eastAsia="hu-HU"/>
        </w:rPr>
        <w:t>ának</w:t>
      </w:r>
      <w:proofErr w:type="spellEnd"/>
      <w:r w:rsidRPr="00D31759">
        <w:rPr>
          <w:rFonts w:ascii="Arial" w:eastAsia="Times New Roman" w:hAnsi="Arial" w:cs="Arial"/>
          <w:color w:val="606569"/>
          <w:sz w:val="20"/>
          <w:szCs w:val="20"/>
          <w:lang w:eastAsia="hu-HU"/>
        </w:rPr>
        <w:t xml:space="preserve"> (2) bekezdése szerint a bejelentésben feltüntetett telepen az adott tevékenység végezhető-e.</w:t>
      </w:r>
      <w:r w:rsidRPr="00D31759">
        <w:rPr>
          <w:rFonts w:ascii="Arial" w:eastAsia="Times New Roman" w:hAnsi="Arial" w:cs="Arial"/>
          <w:color w:val="606569"/>
          <w:sz w:val="20"/>
          <w:szCs w:val="20"/>
          <w:lang w:eastAsia="hu-HU"/>
        </w:rPr>
        <w:br/>
        <w:t>A fenti bekezdésben meghatározott feltétel fennállásának vizsgálatát követően a jegyző a telepet haladéktalanul nyilvántartásba veszi és interneten közzéteszi.</w:t>
      </w:r>
    </w:p>
    <w:p w:rsidR="00A663C8" w:rsidRDefault="00D31759" w:rsidP="00A663C8">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lastRenderedPageBreak/>
        <w:t>A nyilvántartásba vételről értesül a kérelmező, az illetékes szakhatóságok, az illetékes munkaügyi és munkavédelmi hatóság és az illetékes rendőrhatóság. A szakhatóságok a jogszabályban meghatározott esetekben a telepen ellenőrzést folytathatnak le, melynek eredményéről tájékoztatják a jegyzőt.</w:t>
      </w:r>
    </w:p>
    <w:p w:rsidR="00D31759" w:rsidRPr="00D31759" w:rsidRDefault="00D31759" w:rsidP="00A663C8">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Az ügyintézési határidőbe be nem számítható idők</w:t>
      </w:r>
    </w:p>
    <w:p w:rsidR="00D31759" w:rsidRPr="00D31759" w:rsidRDefault="00D31759" w:rsidP="00D31759">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Nincs, tekintettel arra, hogy a bejelentés elbírálása után annak közvetlenül vagy elutasítására, vagy elfogadására (és így a kereskedelmi tevékenység nyilvántartásba vételére) kerül sor.</w:t>
      </w:r>
    </w:p>
    <w:p w:rsid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Az eljárás illetéke, igazgatási szolgáltatási díj:</w:t>
      </w:r>
      <w:r w:rsidRPr="00D31759">
        <w:rPr>
          <w:rFonts w:ascii="Arial" w:eastAsia="Times New Roman" w:hAnsi="Arial" w:cs="Arial"/>
          <w:color w:val="606569"/>
          <w:sz w:val="20"/>
          <w:szCs w:val="20"/>
          <w:lang w:eastAsia="hu-HU"/>
        </w:rPr>
        <w:br/>
        <w:t>az eljárásért 3.000.- Ft általános eljárási illetéket kell leróni, melyet illetékbélyeg formájában kell a bejelentő lapra ragasztani</w:t>
      </w:r>
      <w:r w:rsidR="00A663C8">
        <w:rPr>
          <w:rFonts w:ascii="Arial" w:eastAsia="Times New Roman" w:hAnsi="Arial" w:cs="Arial"/>
          <w:color w:val="606569"/>
          <w:sz w:val="20"/>
          <w:szCs w:val="20"/>
          <w:lang w:eastAsia="hu-HU"/>
        </w:rPr>
        <w:t>.</w:t>
      </w:r>
    </w:p>
    <w:p w:rsidR="00A663C8" w:rsidRPr="00D31759" w:rsidRDefault="00A663C8" w:rsidP="00D31759">
      <w:pPr>
        <w:shd w:val="clear" w:color="auto" w:fill="FFFFFF"/>
        <w:spacing w:after="0" w:line="240" w:lineRule="auto"/>
        <w:textAlignment w:val="baseline"/>
        <w:rPr>
          <w:rFonts w:ascii="Arial" w:eastAsia="Times New Roman" w:hAnsi="Arial" w:cs="Arial"/>
          <w:color w:val="606569"/>
          <w:sz w:val="20"/>
          <w:szCs w:val="20"/>
          <w:lang w:eastAsia="hu-HU"/>
        </w:rPr>
      </w:pPr>
    </w:p>
    <w:p w:rsidR="00D31759" w:rsidRPr="00D31759" w:rsidRDefault="00D31759" w:rsidP="00D31759">
      <w:pPr>
        <w:shd w:val="clear" w:color="auto" w:fill="FFFFFF"/>
        <w:spacing w:after="0" w:line="240" w:lineRule="auto"/>
        <w:textAlignment w:val="baseline"/>
        <w:rPr>
          <w:rFonts w:ascii="Arial" w:eastAsia="Times New Roman" w:hAnsi="Arial" w:cs="Arial"/>
          <w:color w:val="606569"/>
          <w:sz w:val="20"/>
          <w:szCs w:val="20"/>
          <w:lang w:eastAsia="hu-HU"/>
        </w:rPr>
      </w:pPr>
      <w:r w:rsidRPr="00D31759">
        <w:rPr>
          <w:rFonts w:ascii="inherit" w:eastAsia="Times New Roman" w:hAnsi="inherit" w:cs="Arial"/>
          <w:b/>
          <w:bCs/>
          <w:color w:val="606569"/>
          <w:sz w:val="20"/>
          <w:szCs w:val="20"/>
          <w:bdr w:val="none" w:sz="0" w:space="0" w:color="auto" w:frame="1"/>
          <w:lang w:eastAsia="hu-HU"/>
        </w:rPr>
        <w:t>VIII. A döntésben foglaltak végrehajtása, ellenőrzése, jogkövetkezménye</w:t>
      </w:r>
    </w:p>
    <w:p w:rsidR="00D31759" w:rsidRPr="00D31759" w:rsidRDefault="00D31759" w:rsidP="00D31759">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 xml:space="preserve">A </w:t>
      </w:r>
      <w:proofErr w:type="spellStart"/>
      <w:r w:rsidRPr="00D31759">
        <w:rPr>
          <w:rFonts w:ascii="Arial" w:eastAsia="Times New Roman" w:hAnsi="Arial" w:cs="Arial"/>
          <w:color w:val="606569"/>
          <w:sz w:val="20"/>
          <w:szCs w:val="20"/>
          <w:lang w:eastAsia="hu-HU"/>
        </w:rPr>
        <w:t>Szolgtv</w:t>
      </w:r>
      <w:proofErr w:type="spellEnd"/>
      <w:r w:rsidRPr="00D31759">
        <w:rPr>
          <w:rFonts w:ascii="Arial" w:eastAsia="Times New Roman" w:hAnsi="Arial" w:cs="Arial"/>
          <w:color w:val="606569"/>
          <w:sz w:val="20"/>
          <w:szCs w:val="20"/>
          <w:lang w:eastAsia="hu-HU"/>
        </w:rPr>
        <w:t>. 25. § (2) bekezdése értelmében, ha a szolgáltatás felügyeletét ellátó hatóság ellenőrzése során megállapítja, hogy a szolgáltató a bejelentés-köteles tevékenységet bejelentés nélkül ténylegesen folytatja, ideértve azt az esetet is, ha a szolgáltató a bejelentés előírt adataiban bekövetkezett változás bejelentését elmulasztotta, bírságot szab ki, és</w:t>
      </w:r>
      <w:r w:rsidRPr="00D31759">
        <w:rPr>
          <w:rFonts w:ascii="Arial" w:eastAsia="Times New Roman" w:hAnsi="Arial" w:cs="Arial"/>
          <w:color w:val="606569"/>
          <w:sz w:val="20"/>
          <w:szCs w:val="20"/>
          <w:lang w:eastAsia="hu-HU"/>
        </w:rPr>
        <w:br/>
        <w:t>a) ha a szolgáltató egyébként megfelel az adott szolgáltatási tevékenység megkezdésére és folytatására való jogosultságra vonatkozó jogszabályi előírásoknak, hivatalból nyilvántartásba veszi, vagy az adatváltozást a nyilvántartásba bejegyzi; vagy</w:t>
      </w:r>
      <w:r w:rsidRPr="00D31759">
        <w:rPr>
          <w:rFonts w:ascii="Arial" w:eastAsia="Times New Roman" w:hAnsi="Arial" w:cs="Arial"/>
          <w:color w:val="606569"/>
          <w:sz w:val="20"/>
          <w:szCs w:val="20"/>
          <w:lang w:eastAsia="hu-HU"/>
        </w:rPr>
        <w:br/>
        <w:t>b) ha a szolgáltató nem felel meg az adott szolgáltatási tevékenység megkezdésére és folytatására való jogosultságra vonatkozó jogszabályi előírásoknak, az adott szolgáltatási tevékenység megkezdésére és folytatására való jogosultság megfelelő igazolásáig határozatban megtiltja az adott szolgáltatási tevékenység folytatását.</w:t>
      </w:r>
    </w:p>
    <w:p w:rsidR="00D31759" w:rsidRPr="00D31759" w:rsidRDefault="00D31759" w:rsidP="00D31759">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A bejelentés-köteles szolgáltatási tevékenységek tekintetében a bejelentés elmulasztása esetén fizetendő bírságról, továbbá a szolgáltatás felügyeletét ellátó hatóságok általános kijelöléséről szóló 186/2009. (IX. 10.) Korm. rendelet 2. § (1) bekezdése értelmében a bírság összege az adott szolgáltatási tevékenység bejelentésére előírt illeték vagy igazgatási szolgáltatási díj húszszorosának megfelelő összeg, de legfeljebb ötvenezer forint.</w:t>
      </w:r>
      <w:r w:rsidRPr="00D31759">
        <w:rPr>
          <w:rFonts w:ascii="Arial" w:eastAsia="Times New Roman" w:hAnsi="Arial" w:cs="Arial"/>
          <w:color w:val="606569"/>
          <w:sz w:val="20"/>
          <w:szCs w:val="20"/>
          <w:lang w:eastAsia="hu-HU"/>
        </w:rPr>
        <w:br/>
        <w:t>Ugyanezen kormányrendelet 2. § (2) bekezdése szerint, ha a szolgáltató ugyanazon szolgáltatási tevékenység tekintetében bejelentési kötelezettségét ismételten elmulasztja, a bírság összege az (1) bekezdésben meghatározott bírságösszeg másfélszeresének megfelelő összeg, legfeljebb hetvenötezer forint.</w:t>
      </w:r>
    </w:p>
    <w:p w:rsidR="00D31759" w:rsidRPr="00D31759" w:rsidRDefault="00D31759" w:rsidP="00D31759">
      <w:pPr>
        <w:shd w:val="clear" w:color="auto" w:fill="FFFFFF"/>
        <w:spacing w:after="446" w:line="240" w:lineRule="auto"/>
        <w:textAlignment w:val="baseline"/>
        <w:rPr>
          <w:rFonts w:ascii="Arial" w:eastAsia="Times New Roman" w:hAnsi="Arial" w:cs="Arial"/>
          <w:color w:val="606569"/>
          <w:sz w:val="20"/>
          <w:szCs w:val="20"/>
          <w:lang w:eastAsia="hu-HU"/>
        </w:rPr>
      </w:pPr>
      <w:r w:rsidRPr="00D31759">
        <w:rPr>
          <w:rFonts w:ascii="Arial" w:eastAsia="Times New Roman" w:hAnsi="Arial" w:cs="Arial"/>
          <w:color w:val="606569"/>
          <w:sz w:val="20"/>
          <w:szCs w:val="20"/>
          <w:lang w:eastAsia="hu-HU"/>
        </w:rPr>
        <w:t>A döntés elleni jogorvoslat rendje, előírásai:</w:t>
      </w:r>
      <w:r w:rsidRPr="00D31759">
        <w:rPr>
          <w:rFonts w:ascii="Arial" w:eastAsia="Times New Roman" w:hAnsi="Arial" w:cs="Arial"/>
          <w:color w:val="606569"/>
          <w:sz w:val="20"/>
          <w:szCs w:val="20"/>
          <w:lang w:eastAsia="hu-HU"/>
        </w:rPr>
        <w:br/>
        <w:t xml:space="preserve">Amennyiben a bejelentés adattartalma nem felel meg a jogszabályi előírásoknak, az ügyintéző értesíti erről a tényről az üzemeltetőt. Tekintettel arra, hogy ez nem döntés – hiszen a nyilvántartásba vétel feltétele kizárólag az, hogy a </w:t>
      </w:r>
      <w:proofErr w:type="spellStart"/>
      <w:r w:rsidRPr="00D31759">
        <w:rPr>
          <w:rFonts w:ascii="Arial" w:eastAsia="Times New Roman" w:hAnsi="Arial" w:cs="Arial"/>
          <w:color w:val="606569"/>
          <w:sz w:val="20"/>
          <w:szCs w:val="20"/>
          <w:lang w:eastAsia="hu-HU"/>
        </w:rPr>
        <w:t>Kr</w:t>
      </w:r>
      <w:proofErr w:type="spellEnd"/>
      <w:r w:rsidRPr="00D31759">
        <w:rPr>
          <w:rFonts w:ascii="Arial" w:eastAsia="Times New Roman" w:hAnsi="Arial" w:cs="Arial"/>
          <w:color w:val="606569"/>
          <w:sz w:val="20"/>
          <w:szCs w:val="20"/>
          <w:lang w:eastAsia="hu-HU"/>
        </w:rPr>
        <w:t>-ben felsorolt adatokat a bejelentés helyesen tartalmazza –, nincs lehetőség hiánypótlásra, illetve nem lehet ellene fellebbezést sem benyújtani.</w:t>
      </w:r>
    </w:p>
    <w:p w:rsidR="00CB0DB5" w:rsidRDefault="00CB0DB5"/>
    <w:sectPr w:rsidR="00CB0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ACE"/>
    <w:multiLevelType w:val="multilevel"/>
    <w:tmpl w:val="277AF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8021A"/>
    <w:multiLevelType w:val="multilevel"/>
    <w:tmpl w:val="89A02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95D7E"/>
    <w:multiLevelType w:val="multilevel"/>
    <w:tmpl w:val="F2762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59"/>
    <w:rsid w:val="007C6750"/>
    <w:rsid w:val="00A663C8"/>
    <w:rsid w:val="00CB0DB5"/>
    <w:rsid w:val="00D31759"/>
    <w:rsid w:val="00DF2E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DA97"/>
  <w15:chartTrackingRefBased/>
  <w15:docId w15:val="{5AA7EF4A-CBD2-4D32-8A1E-6BA2598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663C8"/>
    <w:rPr>
      <w:color w:val="0563C1" w:themeColor="hyperlink"/>
      <w:u w:val="single"/>
    </w:rPr>
  </w:style>
  <w:style w:type="character" w:styleId="Feloldatlanmegemlts">
    <w:name w:val="Unresolved Mention"/>
    <w:basedOn w:val="Bekezdsalapbettpusa"/>
    <w:uiPriority w:val="99"/>
    <w:semiHidden/>
    <w:unhideWhenUsed/>
    <w:rsid w:val="00A663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okmo.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789</Words>
  <Characters>5447</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2017-09-27T13:38:00Z</dcterms:created>
  <dcterms:modified xsi:type="dcterms:W3CDTF">2017-09-28T09:41:00Z</dcterms:modified>
</cp:coreProperties>
</file>